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E6839" w:rsidRDefault="008E6839">
      <w:pPr>
        <w:spacing w:after="0" w:line="480" w:lineRule="auto"/>
        <w:jc w:val="center"/>
        <w:rPr>
          <w:rFonts w:ascii="Times New Roman" w:eastAsia="Times New Roman" w:hAnsi="Times New Roman" w:cs="Times New Roman"/>
          <w:sz w:val="24"/>
          <w:szCs w:val="24"/>
        </w:rPr>
      </w:pPr>
      <w:bookmarkStart w:id="0" w:name="_GoBack"/>
      <w:bookmarkEnd w:id="0"/>
    </w:p>
    <w:p w14:paraId="00000002" w14:textId="77777777" w:rsidR="008E6839" w:rsidRDefault="008E6839">
      <w:pPr>
        <w:spacing w:after="0" w:line="480" w:lineRule="auto"/>
        <w:jc w:val="center"/>
        <w:rPr>
          <w:rFonts w:ascii="Times New Roman" w:eastAsia="Times New Roman" w:hAnsi="Times New Roman" w:cs="Times New Roman"/>
          <w:sz w:val="24"/>
          <w:szCs w:val="24"/>
        </w:rPr>
      </w:pPr>
    </w:p>
    <w:p w14:paraId="00000003" w14:textId="77777777" w:rsidR="008E6839" w:rsidRDefault="008E6839">
      <w:pPr>
        <w:spacing w:after="0" w:line="480" w:lineRule="auto"/>
        <w:jc w:val="center"/>
        <w:rPr>
          <w:rFonts w:ascii="Times New Roman" w:eastAsia="Times New Roman" w:hAnsi="Times New Roman" w:cs="Times New Roman"/>
          <w:sz w:val="24"/>
          <w:szCs w:val="24"/>
        </w:rPr>
      </w:pPr>
    </w:p>
    <w:p w14:paraId="00000004" w14:textId="77777777" w:rsidR="008E6839" w:rsidRDefault="008E6839">
      <w:pPr>
        <w:spacing w:after="0" w:line="480" w:lineRule="auto"/>
        <w:jc w:val="center"/>
        <w:rPr>
          <w:rFonts w:ascii="Times New Roman" w:eastAsia="Times New Roman" w:hAnsi="Times New Roman" w:cs="Times New Roman"/>
          <w:sz w:val="24"/>
          <w:szCs w:val="24"/>
        </w:rPr>
      </w:pPr>
    </w:p>
    <w:p w14:paraId="00000005" w14:textId="77777777" w:rsidR="008E6839" w:rsidRDefault="008E6839">
      <w:pPr>
        <w:spacing w:after="0" w:line="480" w:lineRule="auto"/>
        <w:jc w:val="center"/>
        <w:rPr>
          <w:rFonts w:ascii="Times New Roman" w:eastAsia="Times New Roman" w:hAnsi="Times New Roman" w:cs="Times New Roman"/>
          <w:sz w:val="24"/>
          <w:szCs w:val="24"/>
        </w:rPr>
      </w:pPr>
    </w:p>
    <w:p w14:paraId="00000006" w14:textId="77777777" w:rsidR="008E6839" w:rsidRDefault="008E6839">
      <w:pPr>
        <w:spacing w:after="0" w:line="480" w:lineRule="auto"/>
        <w:jc w:val="center"/>
        <w:rPr>
          <w:rFonts w:ascii="Times New Roman" w:eastAsia="Times New Roman" w:hAnsi="Times New Roman" w:cs="Times New Roman"/>
          <w:sz w:val="24"/>
          <w:szCs w:val="24"/>
        </w:rPr>
      </w:pPr>
    </w:p>
    <w:p w14:paraId="00000007" w14:textId="77777777" w:rsidR="008E6839" w:rsidRDefault="008E6839">
      <w:pPr>
        <w:spacing w:after="0" w:line="480" w:lineRule="auto"/>
        <w:jc w:val="center"/>
        <w:rPr>
          <w:rFonts w:ascii="Times New Roman" w:eastAsia="Times New Roman" w:hAnsi="Times New Roman" w:cs="Times New Roman"/>
          <w:sz w:val="24"/>
          <w:szCs w:val="24"/>
        </w:rPr>
      </w:pPr>
    </w:p>
    <w:p w14:paraId="00000008" w14:textId="77777777" w:rsidR="008E6839" w:rsidRDefault="008E6839">
      <w:pPr>
        <w:spacing w:after="0" w:line="480" w:lineRule="auto"/>
        <w:jc w:val="center"/>
        <w:rPr>
          <w:rFonts w:ascii="Times New Roman" w:eastAsia="Times New Roman" w:hAnsi="Times New Roman" w:cs="Times New Roman"/>
          <w:sz w:val="24"/>
          <w:szCs w:val="24"/>
        </w:rPr>
      </w:pPr>
    </w:p>
    <w:p w14:paraId="00000009" w14:textId="77777777" w:rsidR="008E6839" w:rsidRDefault="00CE1E1B">
      <w:pPr>
        <w:spacing w:after="0" w:line="480" w:lineRule="auto"/>
        <w:jc w:val="center"/>
        <w:rPr>
          <w:rFonts w:ascii="Times New Roman" w:eastAsia="Times New Roman" w:hAnsi="Times New Roman" w:cs="Times New Roman"/>
          <w:sz w:val="24"/>
          <w:szCs w:val="24"/>
        </w:rPr>
      </w:pPr>
      <w:r>
        <w:rPr>
          <w:b/>
          <w:sz w:val="60"/>
          <w:szCs w:val="60"/>
        </w:rPr>
        <w:t>POWERPOINT 2 SPEAKERS NOTES</w:t>
      </w:r>
      <w:r>
        <w:br w:type="page"/>
      </w:r>
    </w:p>
    <w:p w14:paraId="0000000A" w14:textId="77777777" w:rsidR="008E6839" w:rsidRDefault="00CE1E1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Workplace and Diversity</w:t>
      </w:r>
    </w:p>
    <w:p w14:paraId="0000000B" w14:textId="5D944DC3" w:rsidR="008E6839" w:rsidRDefault="00CE1E1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Organizations that skillfully manage diversity in workplaces realize positive long-term benefits. Currently, diversity is a broad concept that goes beyond employees’ management to external stakeholders who have different opinion and preferences. On that note, a plan to address workplace diversity issues</w:t>
      </w:r>
      <w:r w:rsidR="004E19E0">
        <w:rPr>
          <w:rFonts w:ascii="Times New Roman" w:eastAsia="Times New Roman" w:hAnsi="Times New Roman" w:cs="Times New Roman"/>
          <w:sz w:val="24"/>
          <w:szCs w:val="24"/>
        </w:rPr>
        <w:t xml:space="preserve"> in the runaway and homeless youth program targeting the LGBTs are</w:t>
      </w:r>
      <w:r>
        <w:rPr>
          <w:rFonts w:ascii="Times New Roman" w:eastAsia="Times New Roman" w:hAnsi="Times New Roman" w:cs="Times New Roman"/>
          <w:sz w:val="24"/>
          <w:szCs w:val="24"/>
        </w:rPr>
        <w:t xml:space="preserve"> essential in achieving a work environment free from harassment and miscommunication. Additionally, the rise in globalization upholds the relevance of the plan whose goal is to bridge the gap between people of different cultures through proper management. The plan further aims at achieving overall organization success through appropriate management of employees from diverse cultural backgrounds. In this regard, a strategy for implementing the recommendation is crafted in the plan as a significant goal towards embracing workplace diversity.</w:t>
      </w:r>
    </w:p>
    <w:p w14:paraId="0000000C" w14:textId="77777777" w:rsidR="008E6839" w:rsidRDefault="00CE1E1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Inclusive leadership is a crucial strategy for addressing diversity in the workplace. According to Cletus et al. (2018), fostering a positive attitude of acceptance amongst the employees in a globalized setting is achievable through inclusive leadership. The ripple effect of such a scenario is the creation of a positive internal and external organizational brand image. Organizational administration should focus on promoting diversity among leaders through the creation of diversity metrics and behavioral standards. Scorecards can further be created to assess the progress of integrating effective diversity management into the organization. The scorecards define the firm’s recruitment policies and supplier diversity to mention a few. As a result, inclusive leaders will be held accountable for actions that deviate from the provided standards.</w:t>
      </w:r>
    </w:p>
    <w:p w14:paraId="0000000D" w14:textId="77777777" w:rsidR="008E6839" w:rsidRDefault="00CE1E1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Training of cross-cultural differences in organizations is an additional effective measure that fosters an inclusive workplace environment amongst employees (Patrick &amp; Kumar, 2012). Creation of a sense of value and belonging amongst the employees is a measure that addresses diversity issues such as harassment. Also, communication of diversity plans to the employees encourages staff participation towards the subject through an open door policy framework. The discussion between the managers and employees is an illustration of coupled inclusivity and collaboration that will foster equitable and respectful treatment in the firm (Shaban, 2016). Lastly, organizational managers should connect differences to create synergy as a measure to promoting different employee strengths.</w:t>
      </w:r>
    </w:p>
    <w:p w14:paraId="0000000E" w14:textId="7512CC27" w:rsidR="008E6839" w:rsidRDefault="00CE1E1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4E19E0">
        <w:rPr>
          <w:rFonts w:ascii="Times New Roman" w:eastAsia="Times New Roman" w:hAnsi="Times New Roman" w:cs="Times New Roman"/>
          <w:sz w:val="24"/>
          <w:szCs w:val="24"/>
        </w:rPr>
        <w:t>youths affiliated to the runaway and homeless youth program are</w:t>
      </w:r>
      <w:r>
        <w:rPr>
          <w:rFonts w:ascii="Times New Roman" w:eastAsia="Times New Roman" w:hAnsi="Times New Roman" w:cs="Times New Roman"/>
          <w:sz w:val="24"/>
          <w:szCs w:val="24"/>
        </w:rPr>
        <w:t xml:space="preserve"> anticipated to pose the major challenge in the implementation of the diversity plan through attitudinal barriers. The challenge significantly prevents measures aimed at overcoming diversity issues to yield success. Attitudes such as ignorance, backlash, and prejudice will continue to inhibit the embracement of diverse cultures in the work environment (Patrick &amp; Kumar, 2012). Miscommunication due to language barriers is an additional factor that would compromise the effective implementation of the diversity plan. The employees and other important stakeholders affiliated to an organization are likely to have hailed from different geographical locations with different cultures including language. As a result, the implementation of strategies such as the open door policy would not effectively work due to inhibited mode of expression.</w:t>
      </w:r>
    </w:p>
    <w:p w14:paraId="0000000F" w14:textId="6DDD2626" w:rsidR="008E6839" w:rsidRDefault="004E19E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runaway and homeless youth program</w:t>
      </w:r>
      <w:r w:rsidR="00CE1E1B">
        <w:rPr>
          <w:rFonts w:ascii="Times New Roman" w:eastAsia="Times New Roman" w:hAnsi="Times New Roman" w:cs="Times New Roman"/>
          <w:sz w:val="24"/>
          <w:szCs w:val="24"/>
        </w:rPr>
        <w:t xml:space="preserve"> should continuously work towards countering the afore-mentioned challenges to achieve a competitive edge in the current market place. On that note, measures such as environmental scanning prior to implementation of the diverse workforce plan would adequately address the issues. The scanning should focus on factors such as the organizational location, and culture. An assessment of organizational culture is crucial in addressing anticipated attitudinal barriers amongst the employees in the organization. The evaluation will yield insights into the kind of environment an organization operates; as a result, anticipate the kind of employee attitudes expected. In this regard, pre-implementation training with influential speakers can be organized to address the issues before the plan is implemented. On a different note, an assessment of </w:t>
      </w:r>
      <w:r>
        <w:rPr>
          <w:rFonts w:ascii="Times New Roman" w:eastAsia="Times New Roman" w:hAnsi="Times New Roman" w:cs="Times New Roman"/>
          <w:sz w:val="24"/>
          <w:szCs w:val="24"/>
        </w:rPr>
        <w:t>the runaway and homeless youth program targeted locations</w:t>
      </w:r>
      <w:r w:rsidR="00CE1E1B">
        <w:rPr>
          <w:rFonts w:ascii="Times New Roman" w:eastAsia="Times New Roman" w:hAnsi="Times New Roman" w:cs="Times New Roman"/>
          <w:sz w:val="24"/>
          <w:szCs w:val="24"/>
        </w:rPr>
        <w:t xml:space="preserve"> will give insights into language barriers which can be addressed through the use of visual communication and interpreters.</w:t>
      </w:r>
    </w:p>
    <w:p w14:paraId="00000010" w14:textId="77777777" w:rsidR="008E6839" w:rsidRDefault="00CE1E1B">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plan proposes affordable recommendations that will be derived from internal resources; at the same time, covers a broad audience in the proposed strategies. As a result, the plan’s probability of success is high as they take into account both the leaders and employees contribution towards achieving a diverse workforce. Concepts such as inclusive leadership and the use of scorecards target the managerial staff within the organization. By a different token, recommendations such as the use of the open door policy focus on employee contribution towards addressing the issue of diversity. Additionally, the challenges likely to be encountered during implementation are at a manageable level. </w:t>
      </w:r>
    </w:p>
    <w:p w14:paraId="00000011" w14:textId="77777777" w:rsidR="008E6839" w:rsidRDefault="00CE1E1B">
      <w:pPr>
        <w:spacing w:line="480" w:lineRule="auto"/>
        <w:rPr>
          <w:rFonts w:ascii="Times New Roman" w:eastAsia="Times New Roman" w:hAnsi="Times New Roman" w:cs="Times New Roman"/>
          <w:sz w:val="24"/>
          <w:szCs w:val="24"/>
        </w:rPr>
      </w:pPr>
      <w:r>
        <w:br w:type="page"/>
      </w:r>
    </w:p>
    <w:p w14:paraId="00000012" w14:textId="77777777" w:rsidR="008E6839" w:rsidRDefault="00CE1E1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00000013" w14:textId="77777777" w:rsidR="008E6839" w:rsidRDefault="00CE1E1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Cletus, H., Mahmood, A., Umar, A., &amp; Ibrahim D. (2018). Prospects and Challenges of Workplace Diversity in Modern day Organizations: A critical Review. </w:t>
      </w:r>
      <w:r>
        <w:rPr>
          <w:rFonts w:ascii="Times New Roman" w:eastAsia="Times New Roman" w:hAnsi="Times New Roman" w:cs="Times New Roman"/>
          <w:i/>
          <w:sz w:val="24"/>
          <w:szCs w:val="24"/>
        </w:rPr>
        <w:t>Holistica.</w:t>
      </w:r>
      <w:r>
        <w:rPr>
          <w:rFonts w:ascii="Times New Roman" w:eastAsia="Times New Roman" w:hAnsi="Times New Roman" w:cs="Times New Roman"/>
          <w:sz w:val="24"/>
          <w:szCs w:val="24"/>
        </w:rPr>
        <w:t xml:space="preserve"> 9(2), 35-52.</w:t>
      </w:r>
    </w:p>
    <w:p w14:paraId="00000014" w14:textId="77777777" w:rsidR="008E6839" w:rsidRDefault="00CE1E1B">
      <w:pPr>
        <w:spacing w:after="0" w:line="480" w:lineRule="auto"/>
        <w:ind w:left="720" w:hanging="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Patrick, H., &amp; Kumar, V. (2012). Managing Workplace Diversity: Issues and Challenges. </w:t>
      </w:r>
      <w:r>
        <w:rPr>
          <w:rFonts w:ascii="Times New Roman" w:eastAsia="Times New Roman" w:hAnsi="Times New Roman" w:cs="Times New Roman"/>
          <w:i/>
          <w:sz w:val="24"/>
          <w:szCs w:val="24"/>
        </w:rPr>
        <w:t xml:space="preserve">Sage Open. </w:t>
      </w:r>
      <w:r>
        <w:rPr>
          <w:rFonts w:ascii="Times New Roman" w:eastAsia="Times New Roman" w:hAnsi="Times New Roman" w:cs="Times New Roman"/>
          <w:sz w:val="24"/>
          <w:szCs w:val="24"/>
        </w:rPr>
        <w:t>2(2), 1-</w:t>
      </w:r>
      <w:r>
        <w:rPr>
          <w:rFonts w:ascii="Times New Roman" w:eastAsia="Times New Roman" w:hAnsi="Times New Roman" w:cs="Times New Roman"/>
          <w:sz w:val="24"/>
          <w:szCs w:val="24"/>
        </w:rPr>
        <w:tab/>
        <w:t>12</w:t>
      </w:r>
    </w:p>
    <w:p w14:paraId="00000015" w14:textId="77777777" w:rsidR="008E6839" w:rsidRDefault="00CE1E1B">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Shaban, A. (2016). Managing and Leading a Diverse Workforce: One of the Main Challenges in Management.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Procedia-Social and Behavioural Sciences. </w:t>
      </w:r>
      <w:r>
        <w:rPr>
          <w:rFonts w:ascii="Times New Roman" w:eastAsia="Times New Roman" w:hAnsi="Times New Roman" w:cs="Times New Roman"/>
          <w:sz w:val="24"/>
          <w:szCs w:val="24"/>
        </w:rPr>
        <w:t>230. 76-84.</w:t>
      </w:r>
    </w:p>
    <w:p w14:paraId="00000016" w14:textId="77777777" w:rsidR="008E6839" w:rsidRDefault="008E6839">
      <w:pPr>
        <w:spacing w:line="480" w:lineRule="auto"/>
        <w:rPr>
          <w:rFonts w:ascii="Times New Roman" w:eastAsia="Times New Roman" w:hAnsi="Times New Roman" w:cs="Times New Roman"/>
          <w:sz w:val="24"/>
          <w:szCs w:val="24"/>
        </w:rPr>
      </w:pPr>
    </w:p>
    <w:sectPr w:rsidR="008E6839">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52967" w14:textId="77777777" w:rsidR="007F4B02" w:rsidRDefault="007F4B02">
      <w:pPr>
        <w:spacing w:after="0" w:line="240" w:lineRule="auto"/>
      </w:pPr>
      <w:r>
        <w:separator/>
      </w:r>
    </w:p>
  </w:endnote>
  <w:endnote w:type="continuationSeparator" w:id="0">
    <w:p w14:paraId="1AB737CF" w14:textId="77777777" w:rsidR="007F4B02" w:rsidRDefault="007F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16E762" w14:textId="77777777" w:rsidR="007F4B02" w:rsidRDefault="007F4B02">
      <w:pPr>
        <w:spacing w:after="0" w:line="240" w:lineRule="auto"/>
      </w:pPr>
      <w:r>
        <w:separator/>
      </w:r>
    </w:p>
  </w:footnote>
  <w:footnote w:type="continuationSeparator" w:id="0">
    <w:p w14:paraId="1DF524FC" w14:textId="77777777" w:rsidR="007F4B02" w:rsidRDefault="007F4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7" w14:textId="77777777" w:rsidR="008E6839" w:rsidRDefault="00CE1E1B">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WORKPLACE AND DIVERSITY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3758B">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p>
  <w:p w14:paraId="00000018" w14:textId="77777777" w:rsidR="008E6839" w:rsidRDefault="008E6839">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19" w14:textId="77777777" w:rsidR="008E6839" w:rsidRDefault="00CE1E1B">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WORKPLACE AND DIVERSITY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F4B02">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1A" w14:textId="77777777" w:rsidR="008E6839" w:rsidRDefault="008E683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Mja3MDUwNzIyNLRQ0lEKTi0uzszPAykwrAUA+M0k8iwAAAA="/>
  </w:docVars>
  <w:rsids>
    <w:rsidRoot w:val="008E6839"/>
    <w:rsid w:val="0043758B"/>
    <w:rsid w:val="004E19E0"/>
    <w:rsid w:val="007F4B02"/>
    <w:rsid w:val="008E6839"/>
    <w:rsid w:val="00CE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2019-04-18T01:16:00Z</dcterms:created>
  <dcterms:modified xsi:type="dcterms:W3CDTF">2019-04-18T01:16:00Z</dcterms:modified>
</cp:coreProperties>
</file>